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color w:val="9bbb5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FIȘA DISCIPLINEI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9bbb5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Date despre program</w:t>
      </w:r>
      <w:r w:rsidDel="00000000" w:rsidR="00000000" w:rsidRPr="00000000">
        <w:rPr>
          <w:rtl w:val="0"/>
        </w:rPr>
      </w:r>
    </w:p>
    <w:tbl>
      <w:tblPr>
        <w:tblStyle w:val="Table1"/>
        <w:tblW w:w="100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3"/>
        <w:gridCol w:w="6196"/>
        <w:tblGridChange w:id="0">
          <w:tblGrid>
            <w:gridCol w:w="3823"/>
            <w:gridCol w:w="61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 Instituția de învățământ superior</w:t>
            </w:r>
          </w:p>
        </w:tc>
        <w:tc>
          <w:tcPr/>
          <w:p w:rsidR="00000000" w:rsidDel="00000000" w:rsidP="00000000" w:rsidRDefault="00000000" w:rsidRPr="00000000" w14:paraId="00000004">
            <w:pPr>
              <w:pStyle w:val="Heading3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Universitatea Națională de Știință și Tehnologie POLITEHNICA din București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 Facultatea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Facultatea de Inginerie Industrială și Robotică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 Departamentul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Departamentul Tehnologia Construcțiilor de Mașini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 Domeniul de studii universitare 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Inginerie Industrială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 Programul de studii universitare 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Tehnologia Construcțiilor de Mașini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1.6 Ciclul de studii universitare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Licență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1.7 Limba de predare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Română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1.8 Locația geografică de desfășurare a studiilor 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București</w:t>
            </w:r>
          </w:p>
        </w:tc>
      </w:tr>
    </w:tbl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9bbb5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Date despre disciplină</w:t>
      </w:r>
      <w:r w:rsidDel="00000000" w:rsidR="00000000" w:rsidRPr="00000000">
        <w:rPr>
          <w:rtl w:val="0"/>
        </w:rPr>
      </w:r>
    </w:p>
    <w:tbl>
      <w:tblPr>
        <w:tblStyle w:val="Table2"/>
        <w:tblW w:w="100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56"/>
        <w:gridCol w:w="384"/>
        <w:gridCol w:w="706"/>
        <w:gridCol w:w="1424"/>
        <w:gridCol w:w="179"/>
        <w:gridCol w:w="327"/>
        <w:gridCol w:w="1900"/>
        <w:gridCol w:w="6"/>
        <w:gridCol w:w="496"/>
        <w:gridCol w:w="2090"/>
        <w:gridCol w:w="737"/>
        <w:tblGridChange w:id="0">
          <w:tblGrid>
            <w:gridCol w:w="1756"/>
            <w:gridCol w:w="384"/>
            <w:gridCol w:w="706"/>
            <w:gridCol w:w="1424"/>
            <w:gridCol w:w="179"/>
            <w:gridCol w:w="327"/>
            <w:gridCol w:w="1900"/>
            <w:gridCol w:w="6"/>
            <w:gridCol w:w="496"/>
            <w:gridCol w:w="2090"/>
            <w:gridCol w:w="737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 Denumirea disciplinei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Course title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(ro)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(en)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INSTRUIRE ASISTATĂ DE CALCULATOR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Computer-Assisted Instruction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 Titularul/ii activităților de curs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Dr. Mircea POENARU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 Titularul/ii activităților de seminar / laborator/proiect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Dr. Mircea POENARU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ind w:right="-189"/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 Anul de studiu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C">
            <w:pPr>
              <w:spacing w:after="0" w:line="240" w:lineRule="auto"/>
              <w:ind w:left="-82" w:right="-164" w:firstLine="0"/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 Semestrul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ind w:left="-80" w:right="-122" w:firstLine="0"/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2.6. Tipul de evaluare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ind w:left="-38" w:right="-136" w:firstLine="0"/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2.7 Statutul disciplinei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2.8 Categoria formativă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2.9 Codul disciplinei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UPB.06.C.05.L.011</w:t>
            </w:r>
          </w:p>
        </w:tc>
      </w:tr>
    </w:tbl>
    <w:p w:rsidR="00000000" w:rsidDel="00000000" w:rsidP="00000000" w:rsidRDefault="00000000" w:rsidRPr="00000000" w14:paraId="0000005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  <w:color w:val="9bbb5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Timpul total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(ore pe semestru al activităților didactice)</w:t>
      </w:r>
      <w:r w:rsidDel="00000000" w:rsidR="00000000" w:rsidRPr="00000000">
        <w:rPr>
          <w:rtl w:val="0"/>
        </w:rPr>
      </w:r>
    </w:p>
    <w:tbl>
      <w:tblPr>
        <w:tblStyle w:val="Table3"/>
        <w:tblW w:w="100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90"/>
        <w:gridCol w:w="458"/>
        <w:gridCol w:w="116"/>
        <w:gridCol w:w="964"/>
        <w:gridCol w:w="1138"/>
        <w:gridCol w:w="459"/>
        <w:gridCol w:w="2545"/>
        <w:gridCol w:w="555"/>
        <w:tblGridChange w:id="0">
          <w:tblGrid>
            <w:gridCol w:w="3790"/>
            <w:gridCol w:w="458"/>
            <w:gridCol w:w="116"/>
            <w:gridCol w:w="964"/>
            <w:gridCol w:w="1138"/>
            <w:gridCol w:w="459"/>
            <w:gridCol w:w="2545"/>
            <w:gridCol w:w="55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 Număr de ore pe săptămână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5">
            <w:pPr>
              <w:spacing w:after="0" w:line="240" w:lineRule="auto"/>
              <w:ind w:right="-18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Din care: 3.2 curs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ind w:right="-17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 seminar/laborator/proiect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A">
            <w:pPr>
              <w:spacing w:after="0" w:line="240" w:lineRule="auto"/>
              <w:ind w:right="-19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 Total ore din planul de învățământ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5D">
            <w:pPr>
              <w:spacing w:after="0" w:line="240" w:lineRule="auto"/>
              <w:ind w:right="-178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Din care: 3.5 curs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ind w:right="-128"/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3.6 seminar/laborator/proiect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Distribuția fondului de timp: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ore</w:t>
            </w:r>
          </w:p>
        </w:tc>
      </w:tr>
      <w:tr>
        <w:trPr>
          <w:cantSplit w:val="0"/>
          <w:trHeight w:val="818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Studiul după manual, suport de curs, bibliografie și notițe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Documentare suplimentară în bibliotecă, pe platformele electronice de specialitate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bbb5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Pregătire seminarii/ laboratoare/proiecte, teme, referate, portofolii și eseuri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Tutorat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Examinări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Alte activități (dacă există): 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3.7 Total ore studiu individual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22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3.8 Total ore pe semestru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50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3.9 Numărul de credite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9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Precondiții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(acolo unde este cazul)</w:t>
      </w:r>
    </w:p>
    <w:tbl>
      <w:tblPr>
        <w:tblStyle w:val="Table4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28"/>
        <w:gridCol w:w="5228"/>
        <w:tblGridChange w:id="0">
          <w:tblGrid>
            <w:gridCol w:w="5228"/>
            <w:gridCol w:w="52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 de curriculum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Parcurgerea disciplinelor Psihologia educației, Pedagogie I, Pedagogie II, Didactica Specialității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 de rezultate ale învățării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Competențe minimale IT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rPr>
          <w:rFonts w:ascii="Times New Roman" w:cs="Times New Roman" w:eastAsia="Times New Roman" w:hAnsi="Times New Roman"/>
          <w:color w:val="9bbb5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Condiții necesare pentru desfășurarea optimă a activităților didactice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(acolo unde este cazul)</w:t>
      </w:r>
      <w:r w:rsidDel="00000000" w:rsidR="00000000" w:rsidRPr="00000000">
        <w:rPr>
          <w:rFonts w:ascii="Times New Roman" w:cs="Times New Roman" w:eastAsia="Times New Roman" w:hAnsi="Times New Roman"/>
          <w:color w:val="9bbb59"/>
          <w:sz w:val="24"/>
          <w:szCs w:val="24"/>
          <w:rtl w:val="0"/>
        </w:rPr>
        <w:t xml:space="preserve">/ </w:t>
      </w:r>
    </w:p>
    <w:tbl>
      <w:tblPr>
        <w:tblStyle w:val="Table5"/>
        <w:tblpPr w:leftFromText="180" w:rightFromText="180" w:topFromText="0" w:bottomFromText="0" w:vertAnchor="text" w:horzAnchor="text" w:tblpX="0" w:tblpY="130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23"/>
        <w:gridCol w:w="7733"/>
        <w:tblGridChange w:id="0">
          <w:tblGrid>
            <w:gridCol w:w="2723"/>
            <w:gridCol w:w="773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 desfășurare a cursului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-sală de curs prevăzută cu videoproiector și acces la Internet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 desfășurare a seminarului/laboratorului/ proiectului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-sală de curs prevăzută cu videoproiector și acces la Internet</w:t>
            </w:r>
          </w:p>
        </w:tc>
      </w:tr>
    </w:tbl>
    <w:p w:rsidR="00000000" w:rsidDel="00000000" w:rsidP="00000000" w:rsidRDefault="00000000" w:rsidRPr="00000000" w14:paraId="000000A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7f7f7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6. Obiectiv 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Formarea competenţelor de organizare, proiectare si evaluare a activităţilor didactice utilizând calculatorul.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160" w:line="278.00000000000006" w:lineRule="auto"/>
        <w:rPr>
          <w:rFonts w:ascii="Times New Roman" w:cs="Times New Roman" w:eastAsia="Times New Roman" w:hAnsi="Times New Roman"/>
          <w:i w:val="1"/>
          <w:iCs w:val="1"/>
          <w:color w:val="7f7f7f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7. Rezultatele învățării</w:t>
      </w:r>
      <w:r w:rsidDel="00000000" w:rsidR="00000000" w:rsidRPr="00000000">
        <w:rPr>
          <w:rtl w:val="0"/>
        </w:rPr>
      </w:r>
    </w:p>
    <w:tbl>
      <w:tblPr>
        <w:tblStyle w:val="Table6"/>
        <w:tblW w:w="104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4"/>
        <w:gridCol w:w="9462"/>
        <w:tblGridChange w:id="0">
          <w:tblGrid>
            <w:gridCol w:w="994"/>
            <w:gridCol w:w="9462"/>
          </w:tblGrid>
        </w:tblGridChange>
      </w:tblGrid>
      <w:tr>
        <w:trPr>
          <w:cantSplit w:val="1"/>
          <w:trHeight w:val="19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Cunoștințe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● Competenţe de relaţionare profesională şi comunicare complexă cu elevii, de a empatiza cu ei, de a lucra în grup şi de a coopera.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● Competenţe transversale specifice demersurilor de proiectare, organizare, evaluare şi reglare a propriei activităţi de formare profesională.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Abilități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● Proiectarea lecţiei bazata pe softuri educationale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● Însuşirea cunoştinţelor despre principalele modele de predare - învăţare - evaluare (testare) cu ajutorul calculatorului;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● Valorificarea optimă şi creativă a potenţialului propriu şi contribuţie la dezvoltare profesională a studenților.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● Realizarea şi valorificare corelaţiilor intra şi interdisciplinare în vederea optimizării procesului de educaţie.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Responsabilitate și autonomie</w:t>
            </w:r>
          </w:p>
        </w:tc>
        <w:tc>
          <w:tcPr/>
          <w:p w:rsidR="00000000" w:rsidDel="00000000" w:rsidP="00000000" w:rsidRDefault="00000000" w:rsidRPr="00000000" w14:paraId="000000B4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● Utilizarea calculatorului în activitatea de învăţare.</w:t>
            </w:r>
          </w:p>
          <w:p w:rsidR="00000000" w:rsidDel="00000000" w:rsidP="00000000" w:rsidRDefault="00000000" w:rsidRPr="00000000" w14:paraId="000000B5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● Operarea cu entităţile specifice domeniului de cunoaştere:</w:t>
            </w:r>
          </w:p>
          <w:p w:rsidR="00000000" w:rsidDel="00000000" w:rsidP="00000000" w:rsidRDefault="00000000" w:rsidRPr="00000000" w14:paraId="000000B6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● Analizarea şi selectarea unor programe (software-uri) adecvate;</w:t>
            </w:r>
          </w:p>
          <w:p w:rsidR="00000000" w:rsidDel="00000000" w:rsidP="00000000" w:rsidRDefault="00000000" w:rsidRPr="00000000" w14:paraId="000000B7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● Însuşirea noţiunilor legate de metodele şi tehnologiile de livrare a conţinuturilor de învăţare</w:t>
            </w:r>
          </w:p>
          <w:p w:rsidR="00000000" w:rsidDel="00000000" w:rsidP="00000000" w:rsidRDefault="00000000" w:rsidRPr="00000000" w14:paraId="000000B8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● Formarea deprinderilor şi abilităţilor de comunicare folosind noile tehnologii;</w:t>
            </w:r>
          </w:p>
          <w:p w:rsidR="00000000" w:rsidDel="00000000" w:rsidP="00000000" w:rsidRDefault="00000000" w:rsidRPr="00000000" w14:paraId="000000B9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● Dobândirea abilităţilor necesare proiectării şi implementării fişelor de evaluare utilizând tehnologiile informatice;</w:t>
            </w:r>
          </w:p>
          <w:p w:rsidR="00000000" w:rsidDel="00000000" w:rsidP="00000000" w:rsidRDefault="00000000" w:rsidRPr="00000000" w14:paraId="000000B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● Integrarea software-urilor de tip joc didactic în activitatea şcolară curentă;</w:t>
            </w:r>
          </w:p>
          <w:p w:rsidR="00000000" w:rsidDel="00000000" w:rsidP="00000000" w:rsidRDefault="00000000" w:rsidRPr="00000000" w14:paraId="000000B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● Transferarea şi aplicarea achiziţiilor din domeniul IT la dezvoltarea instituţiei.</w:t>
            </w:r>
          </w:p>
          <w:p w:rsidR="00000000" w:rsidDel="00000000" w:rsidP="00000000" w:rsidRDefault="00000000" w:rsidRPr="00000000" w14:paraId="000000B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● Construirea unei atitudini pozitive faţă de noile tehnologii existente în mediul virtual.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8. Metode de predare </w:t>
      </w:r>
    </w:p>
    <w:p w:rsidR="00000000" w:rsidDel="00000000" w:rsidP="00000000" w:rsidRDefault="00000000" w:rsidRPr="00000000" w14:paraId="000000B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Prin conținuturile acestei discipline studenții dobândesc o serie de competențe care le vor folosi atât pe parcursul activității de practică pedagogică cît și după angajarea lor într-o organizație școlară. Informațiile dobândite le sunt utile la examenul de titularizare și cel de definitivat din învățământul preuniversitar.</w:t>
      </w:r>
    </w:p>
    <w:p w:rsidR="00000000" w:rsidDel="00000000" w:rsidP="00000000" w:rsidRDefault="00000000" w:rsidRPr="00000000" w14:paraId="000000C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9. Conținuturi</w:t>
      </w:r>
    </w:p>
    <w:p w:rsidR="00000000" w:rsidDel="00000000" w:rsidP="00000000" w:rsidRDefault="00000000" w:rsidRPr="00000000" w14:paraId="000000C6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52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1"/>
        <w:gridCol w:w="8399"/>
        <w:gridCol w:w="857"/>
        <w:tblGridChange w:id="0">
          <w:tblGrid>
            <w:gridCol w:w="1271"/>
            <w:gridCol w:w="8399"/>
            <w:gridCol w:w="857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CURS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Capitolul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Conținutul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Nr. ore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Introducere</w:t>
            </w:r>
          </w:p>
          <w:p w:rsidR="00000000" w:rsidDel="00000000" w:rsidP="00000000" w:rsidRDefault="00000000" w:rsidRPr="00000000" w14:paraId="000000C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Scurt istoric</w:t>
            </w:r>
          </w:p>
          <w:p w:rsidR="00000000" w:rsidDel="00000000" w:rsidP="00000000" w:rsidRDefault="00000000" w:rsidRPr="00000000" w14:paraId="000000D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Definiţii, terminologie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Instruire asistată de calculator. Noţiuni de bază.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Avantaje şi dezavantaje ale utilizării calculatorului în învăţământ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Definirea noţiunii de impact în contextul educaţional. Analfabetismul digital. Productivitatea. Suprasolicitarea. Interrrelaţionarea elev/student-computer şi profesor-computer. Atitudinea faţă de TIC.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Tendinţe în organizarea procesului instructiv-educativ. „e-Accesibility for ALL” – provocări şi oportunităţi pentru o SI fără bariere tehnologice; accesibilitatea NTIC la nivelul elevilor cu incapacităţi sau diferite grade de invaliditate; rolul TIC în educaţia specială.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Documente al Uniunii Europene privind integrarea noilor tehnologii informaţionale şi de comunicaţii în practica şcolară.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</w:t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Instruire tradiţională şi instruire asistată de calculator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Comparaţie între metodele şi mijloacele tradiţionale de instruire şi cele specifice IAC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Aspecte psihopedagogice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</w:t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Aspecte teoretice ale proiectării IAC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Lecţia bazată pe utilizarea calculatorului</w:t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Tipuri de lecţie</w:t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Metode şi mijloace didactice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Evaluarea prin metode specifice IAC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Comunicarea mediată de tehnologie</w:t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Schema comunicării</w:t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Mijloace de comunicare</w:t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Facilităţi şi avantaje oferite de calculator pentru comunicare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</w:t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Proiectarea, dezvoltarea şi livrarea conţinuturilor de învăţare</w:t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Instrumente informatice pentru proiectarea şi realizarea materialelor suport de învăţare (editoare de HTML, prezentări, etc)</w:t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Modalităţi de proiectare</w:t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Jocul didactic</w:t>
            </w:r>
          </w:p>
          <w:p w:rsidR="00000000" w:rsidDel="00000000" w:rsidP="00000000" w:rsidRDefault="00000000" w:rsidRPr="00000000" w14:paraId="000000F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Metode de livrare pentru conţinutul digital</w:t>
            </w:r>
          </w:p>
          <w:p w:rsidR="00000000" w:rsidDel="00000000" w:rsidP="00000000" w:rsidRDefault="00000000" w:rsidRPr="00000000" w14:paraId="000000F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● Noţiuni fundamentale asupra reţelelor de calculatoare</w:t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● Tehnologii IT pentru livrarea de conţinut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VII</w:t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Dezvoltarea şi implementarea metodelor informatice de evaluare</w:t>
            </w:r>
          </w:p>
          <w:p w:rsidR="00000000" w:rsidDel="00000000" w:rsidP="00000000" w:rsidRDefault="00000000" w:rsidRPr="00000000" w14:paraId="000000F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Metode şi instrumente informatice folosite în evaluare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Proiectarea şi implementarea fişelor de evaluare</w:t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Jocurile didactice, instrumente de evaluare</w:t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Relaţia evaluator - evaluat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VIII</w:t>
            </w:r>
          </w:p>
        </w:tc>
        <w:tc>
          <w:tcPr/>
          <w:p w:rsidR="00000000" w:rsidDel="00000000" w:rsidP="00000000" w:rsidRDefault="00000000" w:rsidRPr="00000000" w14:paraId="000000FC">
            <w:pPr>
              <w:tabs>
                <w:tab w:val="left" w:leader="none" w:pos="3585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Software-uri educaţionale</w:t>
            </w:r>
          </w:p>
          <w:p w:rsidR="00000000" w:rsidDel="00000000" w:rsidP="00000000" w:rsidRDefault="00000000" w:rsidRPr="00000000" w14:paraId="000000FD">
            <w:pPr>
              <w:tabs>
                <w:tab w:val="left" w:leader="none" w:pos="3585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Tipuri de software-uri educaţionale pentru predarea diverselor discipline</w:t>
            </w:r>
          </w:p>
          <w:p w:rsidR="00000000" w:rsidDel="00000000" w:rsidP="00000000" w:rsidRDefault="00000000" w:rsidRPr="00000000" w14:paraId="000000FE">
            <w:pPr>
              <w:tabs>
                <w:tab w:val="left" w:leader="none" w:pos="3585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Exemple şi aplicaţii pentru predarea interdisciplinară</w:t>
            </w:r>
          </w:p>
          <w:p w:rsidR="00000000" w:rsidDel="00000000" w:rsidP="00000000" w:rsidRDefault="00000000" w:rsidRPr="00000000" w14:paraId="000000FF">
            <w:pPr>
              <w:tabs>
                <w:tab w:val="left" w:leader="none" w:pos="3585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Software-uri de evaluare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Total:</w:t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Bibliografie: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 Bocoş, Muşata-Dacia, (2013), Instruirea interactivă, Iaşi, Editura Polirom.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 Brut,M. (2006). Instrumente pentru E-learning. Ghidul informatic al profesorului modern. Editura Polirom, Iaşi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 Buzan,T; Buzan,B. (2012); Hărţi mentale, Editura Curtea veche Publishing, Bucureşti, pag 114-115,177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 Beckmann, E. A. (2010). Learners on the move: Mobile modalities in development studies. Distance Education, 31(2), 159-173.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 Chicioreanu,T.D. (2012). Aplicatii web2.0 pentru integrarea hartilor conceptuale în activitatea didactica”(pag 137-154), Revista STUDIA DOCTORALIA, PSYCHOLOGY AND SCIENCES OF EDUCATION, Vol III/no.4, București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 G.C. Oproiu, Elemente de didactica disciplinelor tehnice, Ed. Printech, Bucureşti, 2003.</w:t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7. IntelTeach. Instruirea în societatea cunoaşterii. CD cu resurse curriculare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8. Knight,S. (2011) Effective Practice with e-Learning. JISC Devevelopment Group, University of Bristol, www.jisc.ac.uk/elearning_pedagogy.html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9. M.Moldoveanu, G. C. Oproiu, Repere didactice şi metodice în predarea disciplinelor tehnice, Ed. Printech, Bucureşti, 2003.</w:t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 Marghescu, G., Chicioreanu,T.D. (2008) An alternative to the traditional methods in education – m-learning: o glance into the future, EUROCON 2007-I.E.E.E. Region *, sectiunea M1-2 Education, Warsaw, Poland, 9-12 septembrie 2007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 Organization, 1(1), 81-102.</w:t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 Tudorică, B.,Chicioreanu, T.D., Sava, B. (2012). Tehnologii informaționale în sprijinul afacerii tale, Editura Politehnica Press, București</w:t>
            </w:r>
          </w:p>
          <w:p w:rsidR="00000000" w:rsidDel="00000000" w:rsidP="00000000" w:rsidRDefault="00000000" w:rsidRPr="00000000" w14:paraId="000001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13. Uden, L. (2007). Activity theory for designing mobile learning. International Journal of Mobile Learning and Organization, 1(1), 81-102.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 Uden, L. (2007). Activity theory for designing mobile learning. International Journal of Mobile Learning and Organization, 1(1), 81-102.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15. Walker, K. (2006). Introduction: Mapping the landscape of mobile learning. In M. Sharples (Ed.), Big issues in mobile learning: Report of a workshop by the kaleidoscope network of excellence mobile learning initiative. University of Nottingham.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 Winters, N. (2006). What is mobile learning? In M. Sharples (Ed.), Big issues in mobile learning: Report of a workshop by the kaleidoscope network of excellence mobile learning initiative. University of Nottingham.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Wood, A. (2005). Wikis in education, http://www.lsn.curtis.edu.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0"/>
        <w:gridCol w:w="8740"/>
        <w:gridCol w:w="874"/>
        <w:tblGridChange w:id="0">
          <w:tblGrid>
            <w:gridCol w:w="850"/>
            <w:gridCol w:w="8740"/>
            <w:gridCol w:w="874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SEMINAR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Nr. crt.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Conținutul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Nr. ore</w:t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Introducere. Noi metode de prezentare a informației. Prez.Animato etc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1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Elaborarea de chestionare on-line(metoda cantitativă de cercetare). Google Drive-Form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Documente colaborative - Google Drive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Comunicarea mediată de tehnologie – Tehnologii web 2.0. Social Media. Exemplificari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Proiectarea, dezvoltarea şi livrarea conţinuturilor de învăţare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Crearea de materiale didactice folosind Microsoft Office si tehnologii web2.0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Dezvoltarea şi implementarea metodelor informatice de evaluare – HotPotatoes, Aplicatii web 2.0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Software-uri educaţionale. Exemplificări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Total: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13</w:t>
            </w:r>
          </w:p>
        </w:tc>
      </w:tr>
      <w:tr>
        <w:trPr>
          <w:cantSplit w:val="0"/>
          <w:trHeight w:val="98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Bibliografie:</w:t>
            </w:r>
          </w:p>
          <w:p w:rsidR="00000000" w:rsidDel="00000000" w:rsidP="00000000" w:rsidRDefault="00000000" w:rsidRPr="00000000" w14:paraId="0000013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 Tudorică, B.,Chicioreanu, T.D., Sava, B. (2012). Tehnologii informaționale în sprijinul afacerii tale, Editura Politehnica Press, București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 Chicioreanu T.D. (2011)- „Computerul in activitatea educationala dincolo de ora de curs”, Ed. Politehnica Press</w:t>
            </w:r>
          </w:p>
          <w:p w:rsidR="00000000" w:rsidDel="00000000" w:rsidP="00000000" w:rsidRDefault="00000000" w:rsidRPr="00000000" w14:paraId="0000013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3. IntelTeach. Instruirea în societatea cunoaşterii. CD cu resurse curriculare</w:t>
            </w:r>
          </w:p>
          <w:p w:rsidR="00000000" w:rsidDel="00000000" w:rsidP="00000000" w:rsidRDefault="00000000" w:rsidRPr="00000000" w14:paraId="0000013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4. Grosseck,G (2007). Un experiment pedagogic reuşit: Utilizarea wiki în desfăşurarea unui curs academic (lucrare conferinţă).</w:t>
            </w:r>
          </w:p>
          <w:p w:rsidR="00000000" w:rsidDel="00000000" w:rsidP="00000000" w:rsidRDefault="00000000" w:rsidRPr="00000000" w14:paraId="0000013E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5. Huffman, K. (2006). Web 2.0: Beyond the Concept: Practical Ways to Implement RSS, Podcasts, and Wikis, Education Libraries 29 (1), pag. 12-19.</w:t>
            </w:r>
          </w:p>
          <w:p w:rsidR="00000000" w:rsidDel="00000000" w:rsidP="00000000" w:rsidRDefault="00000000" w:rsidRPr="00000000" w14:paraId="0000013F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6. www.e-learningcentre.co.uk/eclipse/Resources/mlearning.htm</w:t>
            </w:r>
          </w:p>
          <w:p w:rsidR="00000000" w:rsidDel="00000000" w:rsidP="00000000" w:rsidRDefault="00000000" w:rsidRPr="00000000" w14:paraId="00000140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7. http://en.wikipedia.org/wiki/Mobile_learning</w:t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8. http://creately.com/diagram-products</w:t>
            </w:r>
          </w:p>
          <w:p w:rsidR="00000000" w:rsidDel="00000000" w:rsidP="00000000" w:rsidRDefault="00000000" w:rsidRPr="00000000" w14:paraId="0000014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9. http://www.comapping.com/</w:t>
            </w:r>
          </w:p>
          <w:p w:rsidR="00000000" w:rsidDel="00000000" w:rsidP="00000000" w:rsidRDefault="00000000" w:rsidRPr="00000000" w14:paraId="00000143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10. http://www.creazaeducation.com/mindomo</w:t>
            </w:r>
          </w:p>
          <w:p w:rsidR="00000000" w:rsidDel="00000000" w:rsidP="00000000" w:rsidRDefault="00000000" w:rsidRPr="00000000" w14:paraId="0000014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11. http://www.gliffy.com/</w:t>
            </w:r>
          </w:p>
          <w:p w:rsidR="00000000" w:rsidDel="00000000" w:rsidP="00000000" w:rsidRDefault="00000000" w:rsidRPr="00000000" w14:paraId="00000145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12. http://www.lucidchart.com/</w:t>
            </w:r>
          </w:p>
          <w:p w:rsidR="00000000" w:rsidDel="00000000" w:rsidP="00000000" w:rsidRDefault="00000000" w:rsidRPr="00000000" w14:paraId="00000146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13. http://www.mind42.com/</w:t>
            </w:r>
          </w:p>
          <w:p w:rsidR="00000000" w:rsidDel="00000000" w:rsidP="00000000" w:rsidRDefault="00000000" w:rsidRPr="00000000" w14:paraId="00000147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14. http://www.mindmeister.com/</w:t>
            </w:r>
          </w:p>
          <w:p w:rsidR="00000000" w:rsidDel="00000000" w:rsidP="00000000" w:rsidRDefault="00000000" w:rsidRPr="00000000" w14:paraId="0000014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15. http://www.mywebspiration.com/</w:t>
            </w:r>
          </w:p>
          <w:p w:rsidR="00000000" w:rsidDel="00000000" w:rsidP="00000000" w:rsidRDefault="00000000" w:rsidRPr="00000000" w14:paraId="00000149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16. http://www.spicynodes.org/</w:t>
            </w:r>
          </w:p>
          <w:p w:rsidR="00000000" w:rsidDel="00000000" w:rsidP="00000000" w:rsidRDefault="00000000" w:rsidRPr="00000000" w14:paraId="0000014A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17. http://www.spinscape.com/</w:t>
            </w:r>
          </w:p>
          <w:p w:rsidR="00000000" w:rsidDel="00000000" w:rsidP="00000000" w:rsidRDefault="00000000" w:rsidRPr="00000000" w14:paraId="0000014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18. http://www.webspirationpro.com/</w:t>
            </w:r>
          </w:p>
          <w:p w:rsidR="00000000" w:rsidDel="00000000" w:rsidP="00000000" w:rsidRDefault="00000000" w:rsidRPr="00000000" w14:paraId="0000014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19. https://bubbl.us/</w:t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20. https://cacoo.com/</w:t>
            </w:r>
          </w:p>
        </w:tc>
      </w:tr>
    </w:tbl>
    <w:p w:rsidR="00000000" w:rsidDel="00000000" w:rsidP="00000000" w:rsidRDefault="00000000" w:rsidRPr="00000000" w14:paraId="0000015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10. Evaluare</w:t>
      </w:r>
    </w:p>
    <w:p w:rsidR="00000000" w:rsidDel="00000000" w:rsidP="00000000" w:rsidRDefault="00000000" w:rsidRPr="00000000" w14:paraId="0000015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4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82"/>
        <w:gridCol w:w="3863"/>
        <w:gridCol w:w="2027"/>
        <w:gridCol w:w="1884"/>
        <w:tblGridChange w:id="0">
          <w:tblGrid>
            <w:gridCol w:w="2682"/>
            <w:gridCol w:w="3863"/>
            <w:gridCol w:w="2027"/>
            <w:gridCol w:w="18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Tip activitate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5">
            <w:pPr>
              <w:spacing w:after="0" w:line="240" w:lineRule="auto"/>
              <w:ind w:left="46" w:right="-15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10.1 Criterii de evaluare</w:t>
            </w:r>
          </w:p>
        </w:tc>
        <w:tc>
          <w:tcPr/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10.2 Metode de evaluare</w:t>
            </w:r>
          </w:p>
        </w:tc>
        <w:tc>
          <w:tcPr/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10.3 Pondere din nota finală</w:t>
            </w:r>
          </w:p>
        </w:tc>
      </w:tr>
      <w:tr>
        <w:trPr>
          <w:cantSplit w:val="0"/>
          <w:trHeight w:val="1380" w:hRule="atLeast"/>
          <w:tblHeader w:val="0"/>
        </w:trPr>
        <w:tc>
          <w:tcPr/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 Curs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Participare la activitatea didactică.</w:t>
            </w:r>
          </w:p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Utilizarea corecta a conceptelor și</w:t>
            </w:r>
          </w:p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termenilor specifici.</w:t>
            </w:r>
          </w:p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Capacitatea de aplicare a noțiunilor</w:t>
            </w:r>
          </w:p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învățate.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Observarea</w:t>
            </w:r>
          </w:p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activității</w:t>
            </w:r>
          </w:p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studenților.</w:t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Examen scris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20%</w:t>
            </w:r>
          </w:p>
        </w:tc>
      </w:tr>
      <w:tr>
        <w:trPr>
          <w:cantSplit w:val="0"/>
          <w:trHeight w:val="1932" w:hRule="atLeast"/>
          <w:tblHeader w:val="0"/>
        </w:trPr>
        <w:tc>
          <w:tcPr/>
          <w:p w:rsidR="00000000" w:rsidDel="00000000" w:rsidP="00000000" w:rsidRDefault="00000000" w:rsidRPr="00000000" w14:paraId="00000163">
            <w:pPr>
              <w:spacing w:after="0" w:line="240" w:lineRule="auto"/>
              <w:ind w:right="-15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10.5 Seminar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Participarea activă la seminarii</w:t>
            </w:r>
          </w:p>
          <w:p w:rsidR="00000000" w:rsidDel="00000000" w:rsidP="00000000" w:rsidRDefault="00000000" w:rsidRPr="00000000" w14:paraId="000001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Elaborarea ePortofoliului si incarcarea acestuia pe platforma educationala Moodle.</w:t>
            </w:r>
          </w:p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Utilizarea coerenta si fluenta a</w:t>
            </w:r>
          </w:p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termenilor specifici Sustinerea unei aplicatii de ePortofoliu</w:t>
            </w:r>
          </w:p>
        </w:tc>
        <w:tc>
          <w:tcPr/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ePortofoliu</w:t>
            </w:r>
          </w:p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Evaluare orală.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10.6 Condiții de promovare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Cerintele minimale pentru promovare</w:t>
            </w:r>
          </w:p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● frecventarea orelor de laborator (100%)</w:t>
            </w:r>
          </w:p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● predarea temelor de casa;</w:t>
            </w:r>
          </w:p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● predarea unui set de probleme şi promovarea laboratorului;</w:t>
            </w:r>
          </w:p>
          <w:p w:rsidR="00000000" w:rsidDel="00000000" w:rsidP="00000000" w:rsidRDefault="00000000" w:rsidRPr="00000000" w14:paraId="000001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● obţinerea a 50 % din punctajul total;</w:t>
            </w:r>
          </w:p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● obţinerea a 50 % din punctajul verificării finale</w:t>
            </w:r>
          </w:p>
        </w:tc>
      </w:tr>
    </w:tbl>
    <w:p w:rsidR="00000000" w:rsidDel="00000000" w:rsidP="00000000" w:rsidRDefault="00000000" w:rsidRPr="00000000" w14:paraId="0000017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79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4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207"/>
        <w:gridCol w:w="4277"/>
        <w:gridCol w:w="3982"/>
        <w:tblGridChange w:id="0">
          <w:tblGrid>
            <w:gridCol w:w="2207"/>
            <w:gridCol w:w="4277"/>
            <w:gridCol w:w="398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 completării </w:t>
            </w:r>
          </w:p>
        </w:tc>
        <w:tc>
          <w:tcPr/>
          <w:p w:rsidR="00000000" w:rsidDel="00000000" w:rsidP="00000000" w:rsidRDefault="00000000" w:rsidRPr="00000000" w14:paraId="000001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Titular de curs</w:t>
            </w:r>
          </w:p>
          <w:p w:rsidR="00000000" w:rsidDel="00000000" w:rsidP="00000000" w:rsidRDefault="00000000" w:rsidRPr="00000000" w14:paraId="000001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  <w:color w:val="92d05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Titular(ii) de aplicații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Dr. Mircea POENARU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Dr. Mircea POENARU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955616" cy="838924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616" cy="8389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955616" cy="838924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616" cy="8389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 avizării în departament</w:t>
              <w:br w:type="textWrapping"/>
              <w:t xml:space="preserve">19.09.2025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Director de departament,</w:t>
            </w:r>
          </w:p>
          <w:p w:rsidR="00000000" w:rsidDel="00000000" w:rsidP="00000000" w:rsidRDefault="00000000" w:rsidRPr="00000000" w14:paraId="00000187">
            <w:pPr>
              <w:rPr>
                <w:rFonts w:ascii="Times New Roman" w:cs="Times New Roman" w:eastAsia="Times New Roman" w:hAnsi="Times New Roman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ee0000"/>
                <w:sz w:val="24"/>
                <w:szCs w:val="24"/>
                <w:rtl w:val="0"/>
              </w:rPr>
              <w:t xml:space="preserve">Prof.dr.ing. Nicolae IONESCU</w:t>
            </w:r>
          </w:p>
          <w:p w:rsidR="00000000" w:rsidDel="00000000" w:rsidP="00000000" w:rsidRDefault="00000000" w:rsidRPr="00000000" w14:paraId="000001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</w:t>
            </w:r>
          </w:p>
          <w:p w:rsidR="00000000" w:rsidDel="00000000" w:rsidP="00000000" w:rsidRDefault="00000000" w:rsidRPr="00000000" w14:paraId="000001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 aprobării în Consiliul Facultății</w:t>
              <w:br w:type="textWrapping"/>
              <w:t xml:space="preserve">24.09.2025</w:t>
            </w:r>
          </w:p>
          <w:p w:rsidR="00000000" w:rsidDel="00000000" w:rsidP="00000000" w:rsidRDefault="00000000" w:rsidRPr="00000000" w14:paraId="000001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Decan,</w:t>
            </w:r>
          </w:p>
          <w:p w:rsidR="00000000" w:rsidDel="00000000" w:rsidP="00000000" w:rsidRDefault="00000000" w:rsidRPr="00000000" w14:paraId="00000191">
            <w:pPr>
              <w:rPr>
                <w:rFonts w:ascii="Times New Roman" w:cs="Times New Roman" w:eastAsia="Times New Roman" w:hAnsi="Times New Roman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ee0000"/>
                <w:sz w:val="24"/>
                <w:szCs w:val="24"/>
                <w:rtl w:val="0"/>
              </w:rPr>
              <w:t xml:space="preserve">Prof.dr.ing.ec. Cristian Vasile DOICIN</w:t>
            </w:r>
          </w:p>
          <w:p w:rsidR="00000000" w:rsidDel="00000000" w:rsidP="00000000" w:rsidRDefault="00000000" w:rsidRPr="00000000" w14:paraId="000001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20" w:top="720" w:left="720" w:right="72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1"/>
      <w:tblpPr w:leftFromText="180" w:rightFromText="180" w:topFromText="0" w:bottomFromText="0" w:vertAnchor="text" w:horzAnchor="text" w:tblpX="90" w:tblpY="0"/>
      <w:tblW w:w="10376.0" w:type="dxa"/>
      <w:jc w:val="left"/>
      <w:tblLayout w:type="fixed"/>
      <w:tblLook w:val="0400"/>
    </w:tblPr>
    <w:tblGrid>
      <w:gridCol w:w="1245"/>
      <w:gridCol w:w="7745"/>
      <w:gridCol w:w="1386"/>
      <w:tblGridChange w:id="0">
        <w:tblGrid>
          <w:gridCol w:w="1245"/>
          <w:gridCol w:w="7745"/>
          <w:gridCol w:w="1386"/>
        </w:tblGrid>
      </w:tblGridChange>
    </w:tblGrid>
    <w:tr>
      <w:trPr>
        <w:cantSplit w:val="0"/>
        <w:trHeight w:val="998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19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9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9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360" w:lineRule="auto"/>
            <w:ind w:left="0" w:right="0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Universitatea Națională de Știință și Tehnologie POLITEHNICA București</w:t>
          </w:r>
        </w:p>
        <w:p w:rsidR="00000000" w:rsidDel="00000000" w:rsidP="00000000" w:rsidRDefault="00000000" w:rsidRPr="00000000" w14:paraId="0000019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360" w:lineRule="auto"/>
            <w:ind w:left="0" w:right="0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Facultatea de Inginerie Industrială și Robotică</w:t>
          </w:r>
        </w:p>
      </w:tc>
      <w:tc>
        <w:tcPr>
          <w:vAlign w:val="center"/>
        </w:tcPr>
        <w:p w:rsidR="00000000" w:rsidDel="00000000" w:rsidP="00000000" w:rsidRDefault="00000000" w:rsidRPr="00000000" w14:paraId="0000019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76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459105</wp:posOffset>
                </wp:positionH>
                <wp:positionV relativeFrom="paragraph">
                  <wp:posOffset>173355</wp:posOffset>
                </wp:positionV>
                <wp:extent cx="774700" cy="822960"/>
                <wp:effectExtent b="0" l="0" r="0" t="0"/>
                <wp:wrapNone/>
                <wp:docPr descr="A logo for a company&#10;&#10;Description automatically generated" id="1" name="image1.png"/>
                <a:graphic>
                  <a:graphicData uri="http://schemas.openxmlformats.org/drawingml/2006/picture">
                    <pic:pic>
                      <pic:nvPicPr>
                        <pic:cNvPr descr="A logo for a company&#10;&#10;Description automatically generated" id="0" name="image1.png"/>
                        <pic:cNvPicPr preferRelativeResize="0"/>
                      </pic:nvPicPr>
                      <pic:blipFill>
                        <a:blip r:embed="rId1"/>
                        <a:srcRect b="0" l="9637" r="937" t="103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700" cy="822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1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3583"/>
      </w:tabs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3976</wp:posOffset>
          </wp:positionH>
          <wp:positionV relativeFrom="paragraph">
            <wp:posOffset>-183210</wp:posOffset>
          </wp:positionV>
          <wp:extent cx="777240" cy="77724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" cy="77724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after="0" w:line="240" w:lineRule="auto"/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c6ycBOqVcPUNq2tc+8NCAIAVDg==">CgMxLjA4AHIhMWJrZEhLdXRZb2RkbEl2Vmpvd3NQMmZmWUFGT2RqcF96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ți un document nou." ma:contentTypeScope="" ma:versionID="c3010a1461ef611523d288b54ed6ec88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92d16617f330a5f436d4e234dfbde8a1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CEC84E5-157E-4A5C-B41D-78F7741C641D}"/>
</file>

<file path=customXML/itemProps3.xml><?xml version="1.0" encoding="utf-8"?>
<ds:datastoreItem xmlns:ds="http://schemas.openxmlformats.org/officeDocument/2006/customXml" ds:itemID="{65BBA67D-6029-40D3-ADD3-FA87C2294A4C}"/>
</file>

<file path=customXML/itemProps4.xml><?xml version="1.0" encoding="utf-8"?>
<ds:datastoreItem xmlns:ds="http://schemas.openxmlformats.org/officeDocument/2006/customXml" ds:itemID="{CED1D6C7-D8EF-4AD1-A2A2-625799F673CE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0x010100E9BDF3CCF087294DAF39C3561297F072</vt:lpwstr>
  </property>
</Properties>
</file>